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9004"/>
        <w:gridCol w:w="5679"/>
      </w:tblGrid>
      <w:tr>
        <w:trPr/>
        <w:tc>
          <w:tcPr>
            <w:shd w:val="clear" w:color="auto" w:fill="auto"/>
            <w:tcW w:w="9180" w:type="dxa"/>
            <w:textDirection w:val="lrTb"/>
            <w:noWrap w:val="false"/>
          </w:tcPr>
          <w:p>
            <w:r/>
            <w:r/>
          </w:p>
        </w:tc>
        <w:tc>
          <w:tcPr>
            <w:shd w:val="clear" w:color="auto" w:fill="auto"/>
            <w:tcW w:w="5719" w:type="dxa"/>
            <w:textDirection w:val="lrTb"/>
            <w:noWrap w:val="false"/>
          </w:tcPr>
          <w:p>
            <w:pPr>
              <w:pStyle w:val="599"/>
              <w:ind w:left="1516"/>
              <w:jc w:val="center"/>
              <w:spacing w:before="0" w:after="0"/>
              <w:rPr>
                <w:rFonts w:ascii="Times New Roman" w:hAnsi="Times New Roman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eastAsia="ru-RU"/>
              </w:rPr>
              <w:t xml:space="preserve">Приложение № 8</w:t>
            </w:r>
            <w:r/>
          </w:p>
          <w:p>
            <w:pPr>
              <w:ind w:left="15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Перечню, утвержденному </w:t>
            </w:r>
            <w:r/>
          </w:p>
          <w:p>
            <w:pPr>
              <w:ind w:left="15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постановлением Президиума Российского Совета профсоюза </w:t>
            </w:r>
            <w:r/>
          </w:p>
          <w:p>
            <w:pPr>
              <w:ind w:left="151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29 ноября 2017 года № 10 - 04</w:t>
            </w:r>
            <w:r/>
          </w:p>
          <w:p>
            <w:pPr>
              <w:jc w:val="center"/>
            </w:pPr>
            <w:r/>
            <w:r/>
          </w:p>
        </w:tc>
      </w:tr>
    </w:tbl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итогах детской оздоровительной кампании за текущий период и предложениях по улучшению организации детского отдыха на будущий период</w:t>
      </w:r>
      <w:r/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tbl>
      <w:tblPr>
        <w:tblW w:w="15951" w:type="dxa"/>
        <w:tblInd w:w="-71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108"/>
        <w:gridCol w:w="831"/>
        <w:gridCol w:w="693"/>
        <w:gridCol w:w="692"/>
        <w:gridCol w:w="694"/>
        <w:gridCol w:w="693"/>
        <w:gridCol w:w="694"/>
        <w:gridCol w:w="693"/>
        <w:gridCol w:w="693"/>
        <w:gridCol w:w="7"/>
        <w:gridCol w:w="686"/>
        <w:gridCol w:w="694"/>
        <w:gridCol w:w="450"/>
        <w:gridCol w:w="451"/>
        <w:gridCol w:w="450"/>
        <w:gridCol w:w="452"/>
        <w:gridCol w:w="693"/>
        <w:gridCol w:w="694"/>
        <w:gridCol w:w="762"/>
        <w:gridCol w:w="764"/>
        <w:gridCol w:w="1664"/>
        <w:gridCol w:w="1386"/>
        <w:gridCol w:w="7"/>
      </w:tblGrid>
      <w:tr>
        <w:trPr>
          <w:cantSplit/>
          <w:trHeight w:val="3904"/>
        </w:trPr>
        <w:tc>
          <w:tcPr>
            <w:shd w:val="clear" w:color="auto" w:fill="auto"/>
            <w:tcW w:w="1108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Наименование профсоюзной организации</w:t>
            </w:r>
            <w:r/>
          </w:p>
        </w:tc>
        <w:tc>
          <w:tcPr>
            <w:gridSpan w:val="2"/>
            <w:tcW w:w="152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детей, охваченных отдыхом и оздоровлением</w:t>
            </w:r>
            <w:r/>
          </w:p>
        </w:tc>
        <w:tc>
          <w:tcPr>
            <w:gridSpan w:val="2"/>
            <w:shd w:val="clear" w:color="auto" w:fill="auto"/>
            <w:tcW w:w="138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организаций детского отдыха и оздоровления</w:t>
            </w:r>
            <w:r/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(детские оздоровительные лагеря, санатории, центры отдыха и др.)</w:t>
            </w:r>
            <w:r/>
          </w:p>
        </w:tc>
        <w:tc>
          <w:tcPr>
            <w:gridSpan w:val="2"/>
            <w:tcW w:w="138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выданных путевок</w:t>
            </w:r>
            <w:r/>
          </w:p>
        </w:tc>
        <w:tc>
          <w:tcPr>
            <w:gridSpan w:val="3"/>
            <w:tcW w:w="13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Продолжительность одной смены (количество дней)</w:t>
            </w:r>
            <w:r/>
          </w:p>
        </w:tc>
        <w:tc>
          <w:tcPr>
            <w:gridSpan w:val="2"/>
            <w:tcW w:w="138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Средняя стоимость одного дня пребывания</w:t>
            </w:r>
            <w:r/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в лагере</w:t>
            </w:r>
            <w:r/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4"/>
            <w:shd w:val="clear" w:color="auto" w:fill="auto"/>
            <w:tcW w:w="180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Доля расходов в стоимости путевки </w:t>
            </w:r>
            <w:r/>
          </w:p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gridSpan w:val="2"/>
            <w:shd w:val="clear" w:color="auto" w:fill="auto"/>
            <w:tcW w:w="1387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Рассмотрение вопросов оздоровления детей на заседании профкома</w:t>
            </w:r>
            <w:r/>
          </w:p>
        </w:tc>
        <w:tc>
          <w:tcPr>
            <w:gridSpan w:val="2"/>
            <w:tcW w:w="1526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Количество выделенных бесплатных путевок для малообеспеченных и многодетных семей</w:t>
            </w:r>
            <w:r/>
          </w:p>
        </w:tc>
        <w:tc>
          <w:tcPr>
            <w:tcW w:w="166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Проблемные вопросы при организации и проведении детской летней оздоровительной кампании в 2023 году</w:t>
            </w:r>
            <w:r/>
          </w:p>
        </w:tc>
        <w:tc>
          <w:tcPr>
            <w:gridSpan w:val="2"/>
            <w:tcW w:w="13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</w:rPr>
            </w:pPr>
            <w:r>
              <w:rPr>
                <w:b/>
              </w:rPr>
              <w:t xml:space="preserve">Предложения по улучшению проведения детской летней оздоровительной кампании в 2024 году</w:t>
            </w:r>
            <w:r/>
          </w:p>
        </w:tc>
      </w:tr>
      <w:tr>
        <w:trPr>
          <w:trHeight w:val="494"/>
        </w:trPr>
        <w:tc>
          <w:tcPr>
            <w:shd w:val="clear" w:color="auto" w:fill="auto"/>
            <w:tcW w:w="1108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</w:t>
            </w:r>
            <w:r/>
          </w:p>
        </w:tc>
        <w:tc>
          <w:tcPr>
            <w:gridSpan w:val="2"/>
            <w:tcW w:w="152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</w:t>
            </w:r>
            <w:r/>
          </w:p>
        </w:tc>
        <w:tc>
          <w:tcPr>
            <w:gridSpan w:val="2"/>
            <w:shd w:val="clear" w:color="auto" w:fill="auto"/>
            <w:tcW w:w="138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3</w:t>
            </w:r>
            <w:r/>
          </w:p>
        </w:tc>
        <w:tc>
          <w:tcPr>
            <w:gridSpan w:val="2"/>
            <w:tcW w:w="138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4</w:t>
            </w:r>
            <w:r/>
          </w:p>
        </w:tc>
        <w:tc>
          <w:tcPr>
            <w:gridSpan w:val="3"/>
            <w:tcW w:w="13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5</w:t>
            </w:r>
            <w:r/>
          </w:p>
        </w:tc>
        <w:tc>
          <w:tcPr>
            <w:gridSpan w:val="2"/>
            <w:tcW w:w="13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6</w:t>
            </w:r>
            <w:r/>
          </w:p>
        </w:tc>
        <w:tc>
          <w:tcPr>
            <w:gridSpan w:val="4"/>
            <w:shd w:val="clear" w:color="auto" w:fill="auto"/>
            <w:tcW w:w="180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7</w:t>
            </w:r>
            <w:r/>
          </w:p>
        </w:tc>
        <w:tc>
          <w:tcPr>
            <w:gridSpan w:val="2"/>
            <w:shd w:val="clear" w:color="auto" w:fill="auto"/>
            <w:tcW w:w="1387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8</w:t>
            </w:r>
            <w:r/>
          </w:p>
        </w:tc>
        <w:tc>
          <w:tcPr>
            <w:gridSpan w:val="2"/>
            <w:tcW w:w="152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</w:t>
            </w:r>
            <w:r/>
          </w:p>
        </w:tc>
        <w:tc>
          <w:tcPr>
            <w:tcW w:w="166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10</w:t>
            </w:r>
            <w:r/>
          </w:p>
        </w:tc>
        <w:tc>
          <w:tcPr>
            <w:gridSpan w:val="2"/>
            <w:tcW w:w="1393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11</w:t>
            </w:r>
            <w:r/>
          </w:p>
        </w:tc>
      </w:tr>
      <w:tr>
        <w:trPr>
          <w:cantSplit/>
          <w:gridAfter w:val="1"/>
          <w:trHeight w:val="1946"/>
        </w:trPr>
        <w:tc>
          <w:tcPr>
            <w:shd w:val="clear" w:color="auto" w:fill="auto"/>
            <w:tcW w:w="1108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  <w:tc>
          <w:tcPr>
            <w:tcW w:w="83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shd w:val="clear" w:color="auto" w:fill="auto"/>
            <w:tcW w:w="69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/>
                <w:iCs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shd w:val="clear" w:color="auto" w:fill="auto"/>
            <w:tcW w:w="69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tcW w:w="69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gridSpan w:val="2"/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tcW w:w="69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shd w:val="clear" w:color="auto" w:fill="auto"/>
            <w:tcW w:w="45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субъект</w:t>
            </w:r>
            <w:r/>
          </w:p>
        </w:tc>
        <w:tc>
          <w:tcPr>
            <w:shd w:val="clear" w:color="auto" w:fill="auto"/>
            <w:tcW w:w="451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работодатель</w:t>
            </w:r>
            <w:r/>
          </w:p>
        </w:tc>
        <w:tc>
          <w:tcPr>
            <w:shd w:val="clear" w:color="auto" w:fill="auto"/>
            <w:tcW w:w="450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профсоюз</w:t>
            </w:r>
            <w:r/>
          </w:p>
        </w:tc>
        <w:tc>
          <w:tcPr>
            <w:shd w:val="clear" w:color="auto" w:fill="auto"/>
            <w:tcW w:w="45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 xml:space="preserve">работник</w:t>
            </w:r>
            <w:r/>
          </w:p>
        </w:tc>
        <w:tc>
          <w:tcPr>
            <w:shd w:val="clear" w:color="auto" w:fill="auto"/>
            <w:tcW w:w="693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shd w:val="clear" w:color="auto" w:fill="auto"/>
            <w:tcW w:w="69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tcW w:w="762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текущий год</w:t>
            </w:r>
            <w:r/>
          </w:p>
        </w:tc>
        <w:tc>
          <w:tcPr>
            <w:tcW w:w="764" w:type="dxa"/>
            <w:textDirection w:val="btLr"/>
            <w:noWrap w:val="false"/>
          </w:tcPr>
          <w:p>
            <w:pPr>
              <w:ind w:left="113" w:right="113"/>
              <w:jc w:val="center"/>
              <w:rPr>
                <w:iCs/>
                <w:lang w:val="en-US"/>
              </w:rPr>
            </w:pPr>
            <w:r>
              <w:rPr>
                <w:iCs/>
              </w:rPr>
              <w:t xml:space="preserve">предыдущий год</w:t>
            </w:r>
            <w:r/>
          </w:p>
        </w:tc>
        <w:tc>
          <w:tcPr>
            <w:tcW w:w="1664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 </w:t>
            </w:r>
            <w:r/>
          </w:p>
        </w:tc>
        <w:tc>
          <w:tcPr>
            <w:tcW w:w="1386" w:type="dxa"/>
            <w:textDirection w:val="lrTb"/>
            <w:noWrap w:val="false"/>
          </w:tcPr>
          <w:p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</w:r>
            <w:r/>
          </w:p>
        </w:tc>
      </w:tr>
    </w:tbl>
    <w:p>
      <w:pPr>
        <w:jc w:val="center"/>
        <w:rPr>
          <w:b/>
        </w:rPr>
      </w:pPr>
      <w:r>
        <w:rPr>
          <w:b/>
        </w:rPr>
        <w:t xml:space="preserve">Записка об особенностях детской оздоровительной кампании</w:t>
      </w:r>
      <w:r/>
    </w:p>
    <w:p>
      <w:pPr>
        <w:jc w:val="center"/>
      </w:pPr>
      <w:r>
        <w:rPr>
          <w:iCs/>
        </w:rPr>
        <w:t xml:space="preserve">[Здесь следует привести краткую информацию об особенностях проведении детской летней оздоровительной кампании, например, информацию по вопросам безопасности отдыха детей, организации питания, размещения, оздоровления, обучения, проведения досуга и др.]</w:t>
      </w:r>
      <w:bookmarkStart w:id="0" w:name="_GoBack"/>
      <w:r/>
      <w:bookmarkEnd w:id="0"/>
      <w:r/>
      <w:r/>
    </w:p>
    <w:p>
      <w:r/>
      <w:r/>
    </w:p>
    <w:sectPr>
      <w:footnotePr/>
      <w:endnotePr/>
      <w:type w:val="nextPage"/>
      <w:pgSz w:w="16838" w:h="11906" w:orient="landscape"/>
      <w:pgMar w:top="737" w:right="1134" w:bottom="567" w:left="102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3">
    <w:name w:val="Heading 1 Char"/>
    <w:basedOn w:val="600"/>
    <w:link w:val="599"/>
    <w:uiPriority w:val="9"/>
    <w:rPr>
      <w:rFonts w:ascii="Arial" w:hAnsi="Arial" w:eastAsia="Arial" w:cs="Arial"/>
      <w:sz w:val="40"/>
      <w:szCs w:val="40"/>
    </w:rPr>
  </w:style>
  <w:style w:type="paragraph" w:styleId="14">
    <w:name w:val="Heading 2"/>
    <w:basedOn w:val="598"/>
    <w:next w:val="598"/>
    <w:link w:val="1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5">
    <w:name w:val="Heading 2 Char"/>
    <w:basedOn w:val="600"/>
    <w:link w:val="14"/>
    <w:uiPriority w:val="9"/>
    <w:rPr>
      <w:rFonts w:ascii="Arial" w:hAnsi="Arial" w:eastAsia="Arial" w:cs="Arial"/>
      <w:sz w:val="34"/>
    </w:rPr>
  </w:style>
  <w:style w:type="paragraph" w:styleId="16">
    <w:name w:val="Heading 3"/>
    <w:basedOn w:val="598"/>
    <w:next w:val="598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00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598"/>
    <w:next w:val="598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00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598"/>
    <w:next w:val="598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00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598"/>
    <w:next w:val="598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00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598"/>
    <w:next w:val="598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00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598"/>
    <w:next w:val="598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00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598"/>
    <w:next w:val="598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00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0">
    <w:name w:val="List Paragraph"/>
    <w:basedOn w:val="598"/>
    <w:uiPriority w:val="34"/>
    <w:qFormat/>
    <w:pPr>
      <w:contextualSpacing/>
      <w:ind w:left="720"/>
    </w:pPr>
  </w:style>
  <w:style w:type="paragraph" w:styleId="32">
    <w:name w:val="No Spacing"/>
    <w:uiPriority w:val="1"/>
    <w:qFormat/>
    <w:pPr>
      <w:spacing w:before="0" w:after="0" w:line="240" w:lineRule="auto"/>
    </w:pPr>
  </w:style>
  <w:style w:type="paragraph" w:styleId="33">
    <w:name w:val="Title"/>
    <w:basedOn w:val="598"/>
    <w:next w:val="598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00"/>
    <w:link w:val="33"/>
    <w:uiPriority w:val="10"/>
    <w:rPr>
      <w:sz w:val="48"/>
      <w:szCs w:val="48"/>
    </w:rPr>
  </w:style>
  <w:style w:type="paragraph" w:styleId="35">
    <w:name w:val="Subtitle"/>
    <w:basedOn w:val="598"/>
    <w:next w:val="598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00"/>
    <w:link w:val="35"/>
    <w:uiPriority w:val="11"/>
    <w:rPr>
      <w:sz w:val="24"/>
      <w:szCs w:val="24"/>
    </w:rPr>
  </w:style>
  <w:style w:type="paragraph" w:styleId="37">
    <w:name w:val="Quote"/>
    <w:basedOn w:val="598"/>
    <w:next w:val="598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598"/>
    <w:next w:val="598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598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00"/>
    <w:link w:val="41"/>
    <w:uiPriority w:val="99"/>
  </w:style>
  <w:style w:type="paragraph" w:styleId="43">
    <w:name w:val="Footer"/>
    <w:basedOn w:val="598"/>
    <w:link w:val="4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4">
    <w:name w:val="Footer Char"/>
    <w:basedOn w:val="600"/>
    <w:link w:val="43"/>
    <w:uiPriority w:val="99"/>
  </w:style>
  <w:style w:type="paragraph" w:styleId="45">
    <w:name w:val="Caption"/>
    <w:basedOn w:val="598"/>
    <w:next w:val="598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43"/>
    <w:uiPriority w:val="99"/>
  </w:style>
  <w:style w:type="table" w:styleId="47">
    <w:name w:val="Table Grid"/>
    <w:basedOn w:val="60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Table Grid Light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0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0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0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0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3">
    <w:name w:val="Hyperlink"/>
    <w:uiPriority w:val="99"/>
    <w:unhideWhenUsed/>
    <w:rPr>
      <w:color w:val="0000ff" w:themeColor="hyperlink"/>
      <w:u w:val="single"/>
    </w:rPr>
  </w:style>
  <w:style w:type="paragraph" w:styleId="174">
    <w:name w:val="footnote text"/>
    <w:basedOn w:val="598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00"/>
    <w:uiPriority w:val="99"/>
    <w:unhideWhenUsed/>
    <w:rPr>
      <w:vertAlign w:val="superscript"/>
    </w:rPr>
  </w:style>
  <w:style w:type="paragraph" w:styleId="177">
    <w:name w:val="endnote text"/>
    <w:basedOn w:val="598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00"/>
    <w:uiPriority w:val="99"/>
    <w:semiHidden/>
    <w:unhideWhenUsed/>
    <w:rPr>
      <w:vertAlign w:val="superscript"/>
    </w:rPr>
  </w:style>
  <w:style w:type="paragraph" w:styleId="180">
    <w:name w:val="toc 1"/>
    <w:basedOn w:val="598"/>
    <w:next w:val="598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598"/>
    <w:next w:val="598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598"/>
    <w:next w:val="598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598"/>
    <w:next w:val="598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598"/>
    <w:next w:val="598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598"/>
    <w:next w:val="598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598"/>
    <w:next w:val="598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598"/>
    <w:next w:val="598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598"/>
    <w:next w:val="598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598"/>
    <w:next w:val="598"/>
    <w:uiPriority w:val="99"/>
    <w:unhideWhenUsed/>
    <w:pPr>
      <w:spacing w:after="0" w:afterAutospacing="0"/>
    </w:pPr>
  </w:style>
  <w:style w:type="paragraph" w:styleId="598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599">
    <w:name w:val="Heading 1"/>
    <w:basedOn w:val="598"/>
    <w:next w:val="598"/>
    <w:link w:val="603"/>
    <w:uiPriority w:val="9"/>
    <w:qFormat/>
    <w:pPr>
      <w:keepNext/>
      <w:spacing w:before="240" w:after="60"/>
      <w:outlineLvl w:val="0"/>
    </w:pPr>
    <w:rPr>
      <w:rFonts w:ascii="Cambria" w:hAnsi="Cambria"/>
      <w:b/>
      <w:bCs/>
      <w:sz w:val="32"/>
      <w:szCs w:val="32"/>
    </w:rPr>
  </w:style>
  <w:style w:type="character" w:styleId="600" w:default="1">
    <w:name w:val="Default Paragraph Font"/>
    <w:uiPriority w:val="1"/>
    <w:semiHidden/>
    <w:unhideWhenUsed/>
  </w:style>
  <w:style w:type="table" w:styleId="60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2" w:default="1">
    <w:name w:val="No List"/>
    <w:uiPriority w:val="99"/>
    <w:semiHidden/>
    <w:unhideWhenUsed/>
  </w:style>
  <w:style w:type="character" w:styleId="603" w:customStyle="1">
    <w:name w:val="Заголовок 1 Знак"/>
    <w:basedOn w:val="600"/>
    <w:link w:val="599"/>
    <w:uiPriority w:val="9"/>
    <w:rPr>
      <w:rFonts w:ascii="Cambria" w:hAnsi="Cambria" w:eastAsia="Times New Roman" w:cs="Times New Roman"/>
      <w:b/>
      <w:bCs/>
      <w:sz w:val="32"/>
      <w:szCs w:val="3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Р7-Офис/7.2.0.134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LEYKAND</dc:creator>
  <cp:keywords/>
  <dc:description/>
  <cp:revision>2</cp:revision>
  <dcterms:created xsi:type="dcterms:W3CDTF">2019-12-06T08:24:00Z</dcterms:created>
  <dcterms:modified xsi:type="dcterms:W3CDTF">2023-08-14T11:52:11Z</dcterms:modified>
</cp:coreProperties>
</file>